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A7" w:rsidRPr="00802E8D" w:rsidRDefault="00EE49A7" w:rsidP="00EE49A7">
      <w:pPr>
        <w:pStyle w:val="Style3"/>
        <w:widowControl/>
        <w:tabs>
          <w:tab w:val="left" w:pos="259"/>
        </w:tabs>
        <w:spacing w:line="240" w:lineRule="auto"/>
        <w:jc w:val="center"/>
        <w:rPr>
          <w:rStyle w:val="FontStyle12"/>
          <w:b/>
          <w:sz w:val="24"/>
          <w:szCs w:val="24"/>
        </w:rPr>
      </w:pPr>
      <w:r w:rsidRPr="00802E8D">
        <w:rPr>
          <w:rStyle w:val="FontStyle12"/>
          <w:b/>
          <w:sz w:val="24"/>
          <w:szCs w:val="24"/>
        </w:rPr>
        <w:t xml:space="preserve">BEŞİKTAŞ FUTBOL YATIRIMLARI SANAYİ VE TİCARET ANONİM ŞİRKETİ’NİN </w:t>
      </w:r>
    </w:p>
    <w:p w:rsidR="00EE49A7" w:rsidRPr="00802E8D" w:rsidRDefault="00EE49A7" w:rsidP="00EE49A7">
      <w:pPr>
        <w:pStyle w:val="Style3"/>
        <w:widowControl/>
        <w:tabs>
          <w:tab w:val="left" w:pos="259"/>
        </w:tabs>
        <w:spacing w:line="240" w:lineRule="auto"/>
        <w:jc w:val="center"/>
        <w:rPr>
          <w:rStyle w:val="FontStyle12"/>
          <w:b/>
          <w:sz w:val="24"/>
          <w:szCs w:val="24"/>
        </w:rPr>
      </w:pPr>
      <w:r w:rsidRPr="00802E8D">
        <w:rPr>
          <w:rStyle w:val="FontStyle12"/>
          <w:b/>
          <w:sz w:val="24"/>
          <w:szCs w:val="24"/>
        </w:rPr>
        <w:t xml:space="preserve">14.11.2017 TARİHLİ OLAĞAN GENEL KURUL TOPLANTI GÜNDEMİ </w:t>
      </w:r>
    </w:p>
    <w:p w:rsidR="00EE49A7" w:rsidRPr="00880BE2" w:rsidRDefault="00EE49A7" w:rsidP="00EE49A7">
      <w:pPr>
        <w:pStyle w:val="Style3"/>
        <w:widowControl/>
        <w:tabs>
          <w:tab w:val="left" w:pos="259"/>
        </w:tabs>
        <w:spacing w:line="240" w:lineRule="auto"/>
        <w:jc w:val="center"/>
        <w:rPr>
          <w:rStyle w:val="FontStyle12"/>
          <w:b/>
          <w:sz w:val="22"/>
          <w:szCs w:val="22"/>
        </w:rPr>
      </w:pPr>
    </w:p>
    <w:p w:rsidR="00EE49A7" w:rsidRPr="00802E8D" w:rsidRDefault="00EE49A7" w:rsidP="00EE49A7">
      <w:pPr>
        <w:pStyle w:val="Style3"/>
        <w:widowControl/>
        <w:tabs>
          <w:tab w:val="left" w:pos="259"/>
        </w:tabs>
        <w:spacing w:line="240" w:lineRule="auto"/>
        <w:rPr>
          <w:rStyle w:val="FontStyle12"/>
          <w:sz w:val="22"/>
          <w:szCs w:val="22"/>
        </w:rPr>
      </w:pP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Açılış ve Toplantı Başkanlığı’nın seçilmesi</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Genel Kurul Toplantı Tutanağının İmzalanması Hususunda Toplantı Başkanlığı’na Yetki Verilmesi</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01.06.2016-31.05.</w:t>
      </w:r>
      <w:bookmarkStart w:id="0" w:name="_GoBack"/>
      <w:bookmarkEnd w:id="0"/>
      <w:r w:rsidRPr="00802E8D">
        <w:rPr>
          <w:rStyle w:val="FontStyle12"/>
          <w:sz w:val="22"/>
          <w:szCs w:val="22"/>
        </w:rPr>
        <w:t>2017 özel hesap dönemine ilişkin Yönetim Kurulu faaliyet raporunun okunması,  müzakeresi ve onaylanması</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01.06.2016-31.05.2017 özel hesap dönemine ilişkin Bağımsız Denetim Şirketi rapor özetinin okunması</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01.06.2016-31.05.2017 özel hesap dönemi SPK düzenlemelerine göre hazırlanan finansal tabloların okunması, müzakeresi ve onaylanması</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01.06.2016-31.05.2017 özel hesap dönemi faaliyet ve işlemlerinden dolayı Yönetim Kurulu Üyelerinin ayrı ayrı ibra edilmeleri</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Yönetim Kurulu’nun 01.06.2016-31.05.2017 özel hesap dönemine ilişkin kar dağıtımı yapılmamasına dair önerisinin okunması, görüşülmesi ve onaya sunulması</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01.06.2017-31.05.2018 özel hesap dönemi için Yönetim Kurulu üyeleri ile bağımsız yönetim kurulu üyelerine huzur hakkı ve ücret ödenip-ödenmeyeceği hususunun görüşülüp karara bağlanması</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Türk Ticaret  Kanunu  ve  Sermaye  Piyasası  Kurulu  düzenlemeleri  gereğince 01.06.2017 - 31.05.2018 özel hesap dönemi hesap ve işlemlerinin denetimi için Yönetim Kurulu tarafından seçilen Güney Bağımsız Denetim ve Serbest Muhasebeci Finansal Müşavirlik A.Ş.’nin ve görev süresinin görüşülmesi, Genel Kurul’un onayına sunulması</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TTK 376. madde kapsamında dönem içinde yapılan işlemler ve işletme sürekliliğinin sağlanması adına alınacak tedbirler hakkında ortaklara bilgi verilmesi</w:t>
      </w:r>
    </w:p>
    <w:p w:rsidR="00EE49A7" w:rsidRPr="00802E8D" w:rsidRDefault="00EE49A7" w:rsidP="00EE49A7">
      <w:pPr>
        <w:pStyle w:val="Style3"/>
        <w:widowControl/>
        <w:numPr>
          <w:ilvl w:val="0"/>
          <w:numId w:val="1"/>
        </w:numPr>
        <w:tabs>
          <w:tab w:val="left" w:pos="259"/>
        </w:tabs>
        <w:spacing w:line="0" w:lineRule="atLeast"/>
        <w:rPr>
          <w:rFonts w:eastAsia="Calibri"/>
          <w:sz w:val="22"/>
          <w:szCs w:val="22"/>
        </w:rPr>
      </w:pPr>
      <w:r w:rsidRPr="00802E8D">
        <w:rPr>
          <w:rStyle w:val="FontStyle12"/>
          <w:sz w:val="22"/>
          <w:szCs w:val="22"/>
        </w:rPr>
        <w:t>Türk Ticaret Kanunu'nun 395 - 396. Maddeleri uyarınca, Yönetim Kurulu üyelerine Şirketimiz ile gerek kendisi gerekse başkaları adına işlem yapabilmeleri, Şirketimizin işletme konusuna giren ticari iş türünden bir işlemi kendi veya başkası hesabına yapabilmeleri ve Şirketimizle aynı tür ticari işlerle uğraşan bir şirkete sorumluluğu sınırsız ortak sıfatıyla ortak olabilmelerine izin verilmesine dair karar alınması</w:t>
      </w:r>
    </w:p>
    <w:p w:rsidR="00EE49A7" w:rsidRPr="00802E8D" w:rsidRDefault="00EE49A7" w:rsidP="00EE49A7">
      <w:pPr>
        <w:pStyle w:val="Style3"/>
        <w:widowControl/>
        <w:numPr>
          <w:ilvl w:val="0"/>
          <w:numId w:val="1"/>
        </w:numPr>
        <w:tabs>
          <w:tab w:val="left" w:pos="259"/>
        </w:tabs>
        <w:spacing w:line="0" w:lineRule="atLeast"/>
        <w:rPr>
          <w:rFonts w:eastAsia="Times New Roman"/>
          <w:sz w:val="22"/>
          <w:szCs w:val="22"/>
        </w:rPr>
      </w:pPr>
      <w:r w:rsidRPr="00802E8D">
        <w:rPr>
          <w:rFonts w:eastAsia="Calibri"/>
          <w:sz w:val="22"/>
          <w:szCs w:val="22"/>
        </w:rPr>
        <w:t>Şirketimiz ile Beşiktaş Jimnastik Kulübü Derneği (‘Kulüp’) arasında imzalanan 31.05.2017 tarihli Maliyet ve gelir yansıtma işleminin esaslarının belirlendiği protokol hakkında pay sahiplerine bilgi verilmesi</w:t>
      </w:r>
    </w:p>
    <w:p w:rsidR="00EE49A7" w:rsidRPr="00802E8D" w:rsidRDefault="00EE49A7" w:rsidP="00EE49A7">
      <w:pPr>
        <w:pStyle w:val="Style3"/>
        <w:widowControl/>
        <w:numPr>
          <w:ilvl w:val="0"/>
          <w:numId w:val="1"/>
        </w:numPr>
        <w:tabs>
          <w:tab w:val="left" w:pos="259"/>
        </w:tabs>
        <w:spacing w:line="0" w:lineRule="atLeast"/>
        <w:rPr>
          <w:rFonts w:eastAsia="Times New Roman"/>
          <w:sz w:val="22"/>
          <w:szCs w:val="22"/>
        </w:rPr>
      </w:pPr>
      <w:r w:rsidRPr="00802E8D">
        <w:rPr>
          <w:rFonts w:eastAsia="Times New Roman"/>
          <w:sz w:val="22"/>
          <w:szCs w:val="22"/>
        </w:rPr>
        <w:t>SPK II-17.1 Kurumsal Yönetim Tebliği’nin 1.3.6. sayılı ilkesi kapsamında işlem olup olmadığı konusunda pay sahiplerine bilgi verilmesi</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Fonts w:eastAsia="Times New Roman"/>
          <w:sz w:val="22"/>
          <w:szCs w:val="22"/>
        </w:rPr>
        <w:t xml:space="preserve">SPK mevzuatı çerçevesinde; Şirketin </w:t>
      </w:r>
      <w:r w:rsidRPr="00802E8D">
        <w:rPr>
          <w:rStyle w:val="FontStyle12"/>
          <w:sz w:val="22"/>
          <w:szCs w:val="22"/>
        </w:rPr>
        <w:t>01.06.2016 - 31.05.2017 özel hesap döneminde yapılan</w:t>
      </w:r>
      <w:r w:rsidRPr="00802E8D">
        <w:rPr>
          <w:rFonts w:eastAsia="Times New Roman"/>
          <w:sz w:val="22"/>
          <w:szCs w:val="22"/>
        </w:rPr>
        <w:t xml:space="preserve"> bağışlar hakkında pay sahiplerine bilgi verilmesi  ve 01.06.2017-31.05.2018 özel hesap döneminde yapılacak bağışlar için üst sınır belirlenmesi</w:t>
      </w:r>
    </w:p>
    <w:p w:rsidR="00EE49A7" w:rsidRPr="00802E8D" w:rsidRDefault="00EE49A7" w:rsidP="00EE49A7">
      <w:pPr>
        <w:pStyle w:val="Style3"/>
        <w:widowControl/>
        <w:numPr>
          <w:ilvl w:val="0"/>
          <w:numId w:val="1"/>
        </w:numPr>
        <w:tabs>
          <w:tab w:val="left" w:pos="259"/>
        </w:tabs>
        <w:spacing w:line="0" w:lineRule="atLeast"/>
        <w:rPr>
          <w:sz w:val="22"/>
          <w:szCs w:val="22"/>
        </w:rPr>
      </w:pPr>
      <w:r w:rsidRPr="00802E8D">
        <w:rPr>
          <w:rStyle w:val="FontStyle12"/>
          <w:sz w:val="22"/>
          <w:szCs w:val="22"/>
        </w:rPr>
        <w:t xml:space="preserve">01.06.2016 - 31.05.2017 özel hesap dönemine </w:t>
      </w:r>
      <w:r w:rsidRPr="00802E8D">
        <w:rPr>
          <w:rFonts w:eastAsia="Times New Roman"/>
          <w:sz w:val="22"/>
          <w:szCs w:val="22"/>
        </w:rPr>
        <w:t>ilişkin Şirketin 3. kişiler lehine verdiği teminat, rehin, ipotek (TRİ) ve elde etmiş olduğu gelir ve menfaatler hakkında ortaklara bilgi verilmesi</w:t>
      </w:r>
    </w:p>
    <w:p w:rsidR="00EE49A7" w:rsidRPr="00802E8D" w:rsidRDefault="00EE49A7" w:rsidP="00EE49A7">
      <w:pPr>
        <w:pStyle w:val="Style3"/>
        <w:widowControl/>
        <w:numPr>
          <w:ilvl w:val="0"/>
          <w:numId w:val="1"/>
        </w:numPr>
        <w:tabs>
          <w:tab w:val="left" w:pos="259"/>
        </w:tabs>
        <w:spacing w:line="0" w:lineRule="atLeast"/>
        <w:rPr>
          <w:rStyle w:val="FontStyle12"/>
          <w:sz w:val="22"/>
          <w:szCs w:val="22"/>
        </w:rPr>
      </w:pPr>
      <w:r w:rsidRPr="00802E8D">
        <w:rPr>
          <w:rStyle w:val="FontStyle12"/>
          <w:sz w:val="22"/>
          <w:szCs w:val="22"/>
        </w:rPr>
        <w:t>Dilek, temenniler ve kapanış.</w:t>
      </w:r>
    </w:p>
    <w:p w:rsidR="00EE49A7" w:rsidRPr="00802E8D" w:rsidRDefault="00EE49A7" w:rsidP="00EE49A7">
      <w:pPr>
        <w:pStyle w:val="Style3"/>
        <w:widowControl/>
        <w:tabs>
          <w:tab w:val="left" w:pos="360"/>
        </w:tabs>
        <w:rPr>
          <w:rStyle w:val="FontStyle12"/>
          <w:sz w:val="22"/>
          <w:szCs w:val="22"/>
        </w:rPr>
      </w:pPr>
    </w:p>
    <w:p w:rsidR="00EE49A7" w:rsidRPr="00802E8D" w:rsidRDefault="00EE49A7" w:rsidP="00EE49A7">
      <w:pPr>
        <w:shd w:val="clear" w:color="auto" w:fill="FFFFFF"/>
        <w:tabs>
          <w:tab w:val="right" w:pos="1418"/>
        </w:tabs>
        <w:spacing w:after="0" w:line="240" w:lineRule="auto"/>
        <w:jc w:val="both"/>
        <w:rPr>
          <w:rFonts w:ascii="Arial" w:hAnsi="Arial" w:cs="Arial"/>
        </w:rPr>
      </w:pPr>
    </w:p>
    <w:p w:rsidR="00EE49A7" w:rsidRPr="00802E8D" w:rsidRDefault="00EE49A7" w:rsidP="00EE49A7">
      <w:pPr>
        <w:shd w:val="clear" w:color="auto" w:fill="FFFFFF"/>
        <w:tabs>
          <w:tab w:val="right" w:pos="1418"/>
        </w:tabs>
        <w:spacing w:after="0" w:line="240" w:lineRule="auto"/>
        <w:jc w:val="both"/>
        <w:rPr>
          <w:rFonts w:ascii="Arial" w:hAnsi="Arial" w:cs="Arial"/>
        </w:rPr>
      </w:pPr>
    </w:p>
    <w:p w:rsidR="00EE49A7" w:rsidRPr="00802E8D" w:rsidRDefault="00EE49A7" w:rsidP="00EE49A7">
      <w:pPr>
        <w:shd w:val="clear" w:color="auto" w:fill="FFFFFF"/>
        <w:tabs>
          <w:tab w:val="right" w:pos="1418"/>
        </w:tabs>
        <w:spacing w:after="0" w:line="240" w:lineRule="auto"/>
        <w:jc w:val="both"/>
        <w:rPr>
          <w:rFonts w:ascii="Arial" w:hAnsi="Arial" w:cs="Arial"/>
        </w:rPr>
      </w:pPr>
    </w:p>
    <w:p w:rsidR="00EE49A7" w:rsidRPr="00802E8D" w:rsidRDefault="00EE49A7" w:rsidP="00EE49A7">
      <w:pPr>
        <w:shd w:val="clear" w:color="auto" w:fill="FFFFFF"/>
        <w:tabs>
          <w:tab w:val="right" w:pos="1418"/>
        </w:tabs>
        <w:spacing w:after="0" w:line="240" w:lineRule="auto"/>
        <w:jc w:val="both"/>
        <w:rPr>
          <w:rFonts w:ascii="Arial" w:hAnsi="Arial" w:cs="Arial"/>
        </w:rPr>
      </w:pPr>
    </w:p>
    <w:p w:rsidR="00EE49A7" w:rsidRDefault="00EE49A7" w:rsidP="00EE49A7">
      <w:pPr>
        <w:shd w:val="clear" w:color="auto" w:fill="FFFFFF"/>
        <w:tabs>
          <w:tab w:val="right" w:pos="1418"/>
        </w:tabs>
        <w:spacing w:after="0" w:line="240" w:lineRule="auto"/>
        <w:jc w:val="both"/>
        <w:rPr>
          <w:rFonts w:ascii="Arial" w:hAnsi="Arial" w:cs="Arial"/>
          <w:b/>
        </w:rPr>
      </w:pPr>
    </w:p>
    <w:p w:rsidR="00EE49A7" w:rsidRDefault="00EE49A7" w:rsidP="00EE49A7">
      <w:pPr>
        <w:shd w:val="clear" w:color="auto" w:fill="FFFFFF"/>
        <w:tabs>
          <w:tab w:val="right" w:pos="1418"/>
        </w:tabs>
        <w:spacing w:after="0" w:line="240" w:lineRule="auto"/>
        <w:jc w:val="both"/>
        <w:rPr>
          <w:rFonts w:ascii="Arial" w:hAnsi="Arial" w:cs="Arial"/>
          <w:b/>
        </w:rPr>
      </w:pPr>
    </w:p>
    <w:p w:rsidR="00EE49A7" w:rsidRDefault="00EE49A7" w:rsidP="00EE49A7">
      <w:pPr>
        <w:shd w:val="clear" w:color="auto" w:fill="FFFFFF"/>
        <w:tabs>
          <w:tab w:val="right" w:pos="1418"/>
        </w:tabs>
        <w:spacing w:after="0" w:line="240" w:lineRule="auto"/>
        <w:jc w:val="both"/>
        <w:rPr>
          <w:rFonts w:ascii="Arial" w:hAnsi="Arial" w:cs="Arial"/>
          <w:b/>
        </w:rPr>
      </w:pPr>
    </w:p>
    <w:p w:rsidR="00EE49A7" w:rsidRDefault="00EE49A7" w:rsidP="00EE49A7">
      <w:pPr>
        <w:shd w:val="clear" w:color="auto" w:fill="FFFFFF"/>
        <w:tabs>
          <w:tab w:val="right" w:pos="1418"/>
        </w:tabs>
        <w:spacing w:after="0" w:line="240" w:lineRule="auto"/>
        <w:jc w:val="both"/>
        <w:rPr>
          <w:rFonts w:ascii="Arial" w:hAnsi="Arial" w:cs="Arial"/>
          <w:b/>
        </w:rPr>
      </w:pPr>
    </w:p>
    <w:p w:rsidR="00967B7F" w:rsidRDefault="00EE49A7"/>
    <w:sectPr w:rsidR="0096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44253"/>
    <w:multiLevelType w:val="hybridMultilevel"/>
    <w:tmpl w:val="27EAA398"/>
    <w:lvl w:ilvl="0" w:tplc="A75C06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78"/>
    <w:rsid w:val="00625678"/>
    <w:rsid w:val="008E7AE4"/>
    <w:rsid w:val="00A44D06"/>
    <w:rsid w:val="00EE4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B3077-966F-49CB-B179-8212E44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EE49A7"/>
    <w:pPr>
      <w:widowControl w:val="0"/>
      <w:autoSpaceDE w:val="0"/>
      <w:autoSpaceDN w:val="0"/>
      <w:adjustRightInd w:val="0"/>
      <w:spacing w:after="0" w:line="254" w:lineRule="exact"/>
      <w:jc w:val="both"/>
    </w:pPr>
    <w:rPr>
      <w:rFonts w:ascii="Arial" w:eastAsiaTheme="minorEastAsia" w:hAnsi="Arial" w:cs="Arial"/>
      <w:sz w:val="24"/>
      <w:szCs w:val="24"/>
      <w:lang w:eastAsia="tr-TR"/>
    </w:rPr>
  </w:style>
  <w:style w:type="character" w:customStyle="1" w:styleId="FontStyle12">
    <w:name w:val="Font Style12"/>
    <w:basedOn w:val="DefaultParagraphFont"/>
    <w:uiPriority w:val="99"/>
    <w:rsid w:val="00EE49A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Ebru Ünal</cp:lastModifiedBy>
  <cp:revision>2</cp:revision>
  <dcterms:created xsi:type="dcterms:W3CDTF">2017-10-13T08:20:00Z</dcterms:created>
  <dcterms:modified xsi:type="dcterms:W3CDTF">2017-10-13T08:20:00Z</dcterms:modified>
</cp:coreProperties>
</file>